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13" w:rsidRPr="00FF4413" w:rsidRDefault="00FF4413" w:rsidP="00FF4413">
      <w:pPr>
        <w:pStyle w:val="NormaleWeb"/>
        <w:shd w:val="clear" w:color="auto" w:fill="FFFFFF"/>
        <w:spacing w:before="0" w:beforeAutospacing="0"/>
        <w:rPr>
          <w:rFonts w:ascii="Titillium Web" w:hAnsi="Titillium Web"/>
          <w:b/>
          <w:color w:val="191919"/>
          <w:sz w:val="27"/>
          <w:szCs w:val="27"/>
        </w:rPr>
      </w:pPr>
      <w:r w:rsidRPr="00FF4413">
        <w:rPr>
          <w:rFonts w:ascii="Titillium Web" w:hAnsi="Titillium Web"/>
          <w:b/>
          <w:color w:val="191919"/>
          <w:sz w:val="27"/>
          <w:szCs w:val="27"/>
        </w:rPr>
        <w:t>ELEZIONI DEL PARLAMENTO EUROPEO</w:t>
      </w:r>
      <w:bookmarkStart w:id="0" w:name="_GoBack"/>
      <w:bookmarkEnd w:id="0"/>
    </w:p>
    <w:p w:rsidR="00FF4413" w:rsidRDefault="00FF4413" w:rsidP="00FF4413">
      <w:pPr>
        <w:pStyle w:val="NormaleWeb"/>
        <w:shd w:val="clear" w:color="auto" w:fill="FFFFFF"/>
        <w:spacing w:before="0" w:beforeAutospacing="0"/>
        <w:rPr>
          <w:rFonts w:ascii="Titillium Web" w:hAnsi="Titillium Web"/>
          <w:color w:val="191919"/>
          <w:sz w:val="27"/>
          <w:szCs w:val="27"/>
        </w:rPr>
      </w:pPr>
    </w:p>
    <w:p w:rsidR="00FF4413" w:rsidRDefault="00FF4413" w:rsidP="00FF4413">
      <w:pPr>
        <w:pStyle w:val="NormaleWeb"/>
        <w:shd w:val="clear" w:color="auto" w:fill="FFFFFF"/>
        <w:spacing w:before="0" w:beforeAutospacing="0"/>
        <w:rPr>
          <w:rFonts w:ascii="Titillium Web" w:hAnsi="Titillium Web"/>
          <w:color w:val="191919"/>
          <w:sz w:val="27"/>
          <w:szCs w:val="27"/>
        </w:rPr>
      </w:pPr>
      <w:r>
        <w:rPr>
          <w:rFonts w:ascii="Titillium Web" w:hAnsi="Titillium Web"/>
          <w:color w:val="191919"/>
          <w:sz w:val="27"/>
          <w:szCs w:val="27"/>
        </w:rPr>
        <w:t>In occasione delle prossime elezioni del Parlamento europeo, che in Italia si svolgeranno l’8 e il 9 giugno 2024, i cittadini dell’Unione europea residenti in Italia - che volessero esercitare il diritto di voto per i membri del Parlamento europeo spettanti all’Italia - devono presentare al sindaco del comune di residenza domanda di iscrizione nell'apposita lista aggiunta </w:t>
      </w:r>
      <w:r>
        <w:rPr>
          <w:rStyle w:val="Enfasigrassetto"/>
          <w:rFonts w:ascii="Titillium Web" w:hAnsi="Titillium Web"/>
          <w:color w:val="191919"/>
          <w:sz w:val="27"/>
          <w:szCs w:val="27"/>
        </w:rPr>
        <w:t>entro l’11 marzo 2024</w:t>
      </w:r>
      <w:r>
        <w:rPr>
          <w:rFonts w:ascii="Titillium Web" w:hAnsi="Titillium Web"/>
          <w:color w:val="191919"/>
          <w:sz w:val="27"/>
          <w:szCs w:val="27"/>
        </w:rPr>
        <w:t>.</w:t>
      </w:r>
    </w:p>
    <w:p w:rsidR="00FF4413" w:rsidRDefault="00FF4413" w:rsidP="00FF4413">
      <w:pPr>
        <w:pStyle w:val="NormaleWeb"/>
        <w:shd w:val="clear" w:color="auto" w:fill="FFFFFF"/>
        <w:spacing w:before="0" w:beforeAutospacing="0"/>
        <w:rPr>
          <w:rFonts w:ascii="Titillium Web" w:hAnsi="Titillium Web"/>
          <w:color w:val="191919"/>
          <w:sz w:val="27"/>
          <w:szCs w:val="27"/>
        </w:rPr>
      </w:pPr>
      <w:r>
        <w:rPr>
          <w:rFonts w:ascii="Titillium Web" w:hAnsi="Titillium Web"/>
          <w:color w:val="191919"/>
          <w:sz w:val="27"/>
          <w:szCs w:val="27"/>
        </w:rPr>
        <w:t>L'istanza non deve essere presentata dai cittadini dell’Unione che siano stati già iscritti nella lista aggiunta in occasione delle precedenti elezioni europee e che non abbiano revocato tale iscrizione.</w:t>
      </w:r>
      <w:r>
        <w:rPr>
          <w:rFonts w:ascii="Titillium Web" w:hAnsi="Titillium Web"/>
          <w:color w:val="191919"/>
          <w:sz w:val="27"/>
          <w:szCs w:val="27"/>
        </w:rPr>
        <w:br/>
        <w:t>L’eventuale trasferimento di residenza in altri comuni italiani di cittadini UE già iscritti determina l’iscrizione ‘'ufficio nelle liste aggiunte del comune di nuova residenza.</w:t>
      </w:r>
    </w:p>
    <w:p w:rsidR="00FF4413" w:rsidRDefault="00FF4413" w:rsidP="00FF4413">
      <w:pPr>
        <w:pStyle w:val="NormaleWeb"/>
        <w:shd w:val="clear" w:color="auto" w:fill="FFFFFF"/>
        <w:spacing w:before="0" w:beforeAutospacing="0"/>
        <w:rPr>
          <w:rFonts w:ascii="Titillium Web" w:hAnsi="Titillium Web"/>
          <w:color w:val="191919"/>
          <w:sz w:val="27"/>
          <w:szCs w:val="27"/>
        </w:rPr>
      </w:pPr>
      <w:r>
        <w:rPr>
          <w:rFonts w:ascii="Titillium Web" w:hAnsi="Titillium Web"/>
          <w:color w:val="191919"/>
          <w:sz w:val="27"/>
          <w:szCs w:val="27"/>
        </w:rPr>
        <w:t>Per agevolare gli interessati, il Ministero dell’Interno ha predisposto un modulo compilabile.</w:t>
      </w:r>
      <w:r>
        <w:rPr>
          <w:rFonts w:ascii="Titillium Web" w:hAnsi="Titillium Web"/>
          <w:color w:val="191919"/>
          <w:sz w:val="27"/>
          <w:szCs w:val="27"/>
        </w:rPr>
        <w:br/>
        <w:t>Tale modello, una volta compilato e stampato, dovrà essere completato con la firma autografa e dovrà essere inviato, o consegnato a mano, al sindaco del comune di residenza entro l'11 marzo 2024.</w:t>
      </w:r>
    </w:p>
    <w:p w:rsidR="00FF4413" w:rsidRDefault="00FF4413" w:rsidP="00FF4413">
      <w:pPr>
        <w:pStyle w:val="NormaleWeb"/>
        <w:shd w:val="clear" w:color="auto" w:fill="FFFFFF"/>
        <w:spacing w:before="0" w:beforeAutospacing="0"/>
        <w:rPr>
          <w:rFonts w:ascii="Titillium Web" w:hAnsi="Titillium Web"/>
          <w:color w:val="191919"/>
          <w:sz w:val="27"/>
          <w:szCs w:val="27"/>
        </w:rPr>
      </w:pPr>
      <w:r>
        <w:rPr>
          <w:rFonts w:ascii="Titillium Web" w:hAnsi="Titillium Web"/>
          <w:color w:val="191919"/>
          <w:sz w:val="27"/>
          <w:szCs w:val="27"/>
        </w:rPr>
        <w:t>Gli elettori UE, cittadini dei seguenti Stati:</w:t>
      </w:r>
      <w:r>
        <w:rPr>
          <w:rFonts w:ascii="Titillium Web" w:hAnsi="Titillium Web"/>
          <w:color w:val="191919"/>
          <w:sz w:val="27"/>
          <w:szCs w:val="27"/>
        </w:rPr>
        <w:br/>
        <w:t>Austria (AT), Belgio (BE), Bulgaria (BG), Repubblica Ceca (CZ), Cipro (CP),Germania (DE), Danimarca (DK), Estonia (EE), Spagna (ES), Finlandia (FI), Francia (FR), Grecia (GR), Croazia (HR), Ungheria (HU), Irlanda (IE), Lituania (LT), Lussemburgo (LU), Lettonia (LV), Malta (MT), Paesi Bassi (NL), Polonia (PL), Portogallo (PT), Romania (RO), Svezia (SE), Slovenia (SI) e Slovacchia (SK),  potranno utilizzare un modello bilingue (italiano e lingua di origine).</w:t>
      </w:r>
    </w:p>
    <w:p w:rsidR="00FF4413" w:rsidRDefault="00FF4413" w:rsidP="00FF4413">
      <w:pPr>
        <w:pStyle w:val="NormaleWeb"/>
        <w:shd w:val="clear" w:color="auto" w:fill="FFFFFF"/>
        <w:spacing w:before="0" w:beforeAutospacing="0"/>
        <w:rPr>
          <w:rFonts w:ascii="Titillium Web" w:hAnsi="Titillium Web"/>
          <w:color w:val="191919"/>
          <w:sz w:val="27"/>
          <w:szCs w:val="27"/>
        </w:rPr>
      </w:pPr>
      <w:r>
        <w:rPr>
          <w:rFonts w:ascii="Titillium Web" w:hAnsi="Titillium Web"/>
          <w:color w:val="191919"/>
          <w:sz w:val="27"/>
          <w:szCs w:val="27"/>
        </w:rPr>
        <w:t>Tutte le informazioni, moduli e riferimenti normativi sono consultabili all’indirizzo </w:t>
      </w:r>
      <w:r>
        <w:rPr>
          <w:rStyle w:val="Enfasigrassetto"/>
          <w:rFonts w:ascii="Titillium Web" w:hAnsi="Titillium Web"/>
          <w:color w:val="191919"/>
          <w:sz w:val="27"/>
          <w:szCs w:val="27"/>
        </w:rPr>
        <w:t>https://dait.interno.gov.it/elezioni/circolari/circolare-dait-n13-del-15-febbraio-2024</w:t>
      </w:r>
    </w:p>
    <w:p w:rsidR="003D32C8" w:rsidRDefault="003D32C8"/>
    <w:sectPr w:rsidR="003D3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13"/>
    <w:rsid w:val="003D32C8"/>
    <w:rsid w:val="00FF4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A55E0-8786-49A3-A0E8-B965D5DF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F44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F4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Angiulli</dc:creator>
  <cp:keywords/>
  <dc:description/>
  <cp:lastModifiedBy>Simona Angiulli</cp:lastModifiedBy>
  <cp:revision>1</cp:revision>
  <dcterms:created xsi:type="dcterms:W3CDTF">2024-02-23T08:06:00Z</dcterms:created>
  <dcterms:modified xsi:type="dcterms:W3CDTF">2024-02-23T08:08:00Z</dcterms:modified>
</cp:coreProperties>
</file>